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color w:val="7C3AED"/>
          <w:sz w:val="20"/>
          <w:szCs w:val="20"/>
        </w:rPr>
        <w:t xml:space="preserve">logicielrsepme.fr by Intersektion</w:t>
      </w:r>
    </w:p>
    <w:p>
      <w:pPr>
        <w:pStyle w:val="Title"/>
      </w:pPr>
      <w:r>
        <w:t xml:space="preserve">Cahier des charges — logiciel RSE pour PME</w:t>
      </w:r>
    </w:p>
    <w:p>
      <w:pPr>
        <w:spacing w:after="120"/>
      </w:pPr>
      <w:r>
        <w:rPr>
          <w:b/>
          <w:bCs/>
        </w:rPr>
        <w:t xml:space="preserve">Trame à compléter et à envoyer à deux ou trois éditeurs. </w:t>
      </w:r>
      <w:r>
        <w:t xml:space="preserve">Elle est pensée pour une entreprise de 50 à 249 salariés dont la démarche RSE est portée par une ou deux personnes. Supprimez les lignes qui ne vous concernent pas : un cahier des charges court obtient des réponses plus précises.</w:t>
      </w:r>
    </w:p>
    <w:p>
      <w:pPr>
        <w:spacing w:after="120"/>
      </w:pPr>
      <w:r>
        <w:rPr>
          <w:i/>
          <w:iCs/>
          <w:color w:val="646A8C"/>
          <w:sz w:val="20"/>
          <w:szCs w:val="20"/>
        </w:rPr>
        <w:t xml:space="preserve">Les textes en italique gris sont des consignes : effacez-les avant l'envoi. Les exemples sont des exemples, pas des recommandations chiffrées.</w:t>
      </w:r>
    </w:p>
    <w:p>
      <w:pPr>
        <w:pStyle w:val="Heading1"/>
      </w:pPr>
      <w:r>
        <w:t xml:space="preserve">1. Contexte de l'entreprise</w:t>
      </w:r>
    </w:p>
    <w:p>
      <w:pPr>
        <w:spacing w:after="100"/>
      </w:pPr>
      <w:r>
        <w:rPr>
          <w:b/>
          <w:bCs/>
        </w:rPr>
        <w:t xml:space="preserve">Raison sociale : </w:t>
      </w:r>
      <w:r>
        <w:rPr>
          <w:color w:val="9A9FBF"/>
        </w:rPr>
        <w:t xml:space="preserve">……………………………………………………</w:t>
      </w:r>
    </w:p>
    <w:p>
      <w:pPr>
        <w:spacing w:after="100"/>
      </w:pPr>
      <w:r>
        <w:rPr>
          <w:b/>
          <w:bCs/>
        </w:rPr>
        <w:t xml:space="preserve">Secteur d'activité : </w:t>
      </w:r>
      <w:r>
        <w:rPr>
          <w:color w:val="9A9FBF"/>
        </w:rPr>
        <w:t xml:space="preserve">……………………………………………………</w:t>
      </w:r>
    </w:p>
    <w:p>
      <w:pPr>
        <w:spacing w:after="100"/>
      </w:pPr>
      <w:r>
        <w:rPr>
          <w:b/>
          <w:bCs/>
        </w:rPr>
        <w:t xml:space="preserve">Effectif (ETP) : </w:t>
      </w:r>
      <w:r>
        <w:rPr>
          <w:color w:val="9A9FBF"/>
        </w:rPr>
        <w:t xml:space="preserve">……………………………………………………</w:t>
      </w:r>
    </w:p>
    <w:p>
      <w:pPr>
        <w:spacing w:after="100"/>
      </w:pPr>
      <w:r>
        <w:rPr>
          <w:b/>
          <w:bCs/>
        </w:rPr>
        <w:t xml:space="preserve">Nombre de sites et pays : </w:t>
      </w:r>
      <w:r>
        <w:rPr>
          <w:color w:val="9A9FBF"/>
        </w:rPr>
        <w:t xml:space="preserve">……………………………………………………</w:t>
      </w:r>
    </w:p>
    <w:p>
      <w:pPr>
        <w:spacing w:after="100"/>
      </w:pPr>
      <w:r>
        <w:rPr>
          <w:b/>
          <w:bCs/>
        </w:rPr>
        <w:t xml:space="preserve">Chiffre d'affaires (ordre de grandeur) : </w:t>
      </w:r>
      <w:r>
        <w:rPr>
          <w:color w:val="9A9FBF"/>
        </w:rPr>
        <w:t xml:space="preserve">……………………………………………………</w:t>
      </w:r>
    </w:p>
    <w:p>
      <w:pPr>
        <w:spacing w:after="100"/>
      </w:pPr>
      <w:r>
        <w:rPr>
          <w:b/>
          <w:bCs/>
        </w:rPr>
        <w:t xml:space="preserve">Personne qui pilotera l'outil (fonction) : </w:t>
      </w:r>
      <w:r>
        <w:rPr>
          <w:color w:val="9A9FBF"/>
        </w:rPr>
        <w:t xml:space="preserve">……………………………………………………</w:t>
      </w:r>
    </w:p>
    <w:p>
      <w:pPr>
        <w:spacing w:after="100"/>
      </w:pPr>
      <w:r>
        <w:rPr>
          <w:b/>
          <w:bCs/>
        </w:rPr>
        <w:t xml:space="preserve">Temps qu'elle pourra y consacrer (jours par mois) : </w:t>
      </w:r>
      <w:r>
        <w:rPr>
          <w:color w:val="9A9FBF"/>
        </w:rPr>
        <w:t xml:space="preserve">……………………………………………………</w:t>
      </w:r>
    </w:p>
    <w:p>
      <w:pPr>
        <w:spacing w:after="100"/>
      </w:pPr>
      <w:r>
        <w:rPr>
          <w:b/>
          <w:bCs/>
        </w:rPr>
        <w:t xml:space="preserve">Ce que nous faisons déjà en RSE (bilan carbone, label, rapport, indicateurs suivis sous tableur…) : </w:t>
      </w:r>
      <w:r>
        <w:rPr>
          <w:color w:val="9A9FBF"/>
        </w:rPr>
        <w:t xml:space="preserve">……………………………………………………</w:t>
      </w:r>
    </w:p>
    <w:p>
      <w:pPr>
        <w:pStyle w:val="Heading1"/>
      </w:pPr>
      <w:r>
        <w:t xml:space="preserve">2. Ce qui déclenche le projet</w:t>
      </w:r>
    </w:p>
    <w:p>
      <w:pPr>
        <w:spacing w:after="120"/>
      </w:pPr>
      <w:r>
        <w:rPr>
          <w:i/>
          <w:iCs/>
          <w:color w:val="646A8C"/>
          <w:sz w:val="20"/>
          <w:szCs w:val="20"/>
        </w:rPr>
        <w:t xml:space="preserve">Cochez et précisez les échéances. Ce sont elles qui fixent le calendrier de déploiement.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55"/>
        <w:gridCol w:w="1735"/>
        <w:gridCol w:w="1735"/>
        <w:gridCol w:w="2313"/>
      </w:tblGrid>
      <w:tr>
        <w:trPr>
          <w:tblHeader/>
        </w:trPr>
        <w:tc>
          <w:tcPr>
            <w:tcW w:type="dxa" w:w="3855"/>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Déclencheur</w:t>
            </w:r>
          </w:p>
        </w:tc>
        <w:tc>
          <w:tcPr>
            <w:tcW w:type="dxa" w:w="1735"/>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Concerné ? (oui / non)</w:t>
            </w:r>
          </w:p>
        </w:tc>
        <w:tc>
          <w:tcPr>
            <w:tcW w:type="dxa" w:w="1735"/>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Échéance</w:t>
            </w:r>
          </w:p>
        </w:tc>
        <w:tc>
          <w:tcPr>
            <w:tcW w:type="dxa" w:w="2313"/>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Demandé par</w:t>
            </w:r>
          </w:p>
        </w:tc>
      </w:tr>
      <w:tr>
        <w:tc>
          <w:tcPr>
            <w:tcW w:type="dxa" w:w="385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Questionnaire RSE d'un client ou d'un donneur d'ordres</w:t>
            </w:r>
          </w:p>
        </w:tc>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85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Évaluation EcoVadis (première évaluation ou réévaluation)</w:t>
            </w:r>
          </w:p>
        </w:tc>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85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Demande de données au format VSME (norme volontaire européenne)</w:t>
            </w:r>
          </w:p>
        </w:tc>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85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Critère environnemental d'un appel d'offres public</w:t>
            </w:r>
          </w:p>
        </w:tc>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85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Demande d'une banque ou d'un investisseur</w:t>
            </w:r>
          </w:p>
        </w:tc>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85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Label ou certification (ISO 14001, ISO 45001, Engagé RSE, B Corp…)</w:t>
            </w:r>
          </w:p>
        </w:tc>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85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Bilan GES (BEGES) ou bilan carbone</w:t>
            </w:r>
          </w:p>
        </w:tc>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85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Pilotage interne (comité de direction, plan d'action)</w:t>
            </w:r>
          </w:p>
        </w:tc>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bl>
    <w:p>
      <w:pPr>
        <w:pStyle w:val="Heading1"/>
      </w:pPr>
      <w:r>
        <w:t xml:space="preserve">3. Périmètre fonctionnel attendu</w:t>
      </w:r>
    </w:p>
    <w:p>
      <w:pPr>
        <w:spacing w:after="120"/>
      </w:pPr>
      <w:r>
        <w:rPr>
          <w:i/>
          <w:iCs/>
          <w:color w:val="646A8C"/>
          <w:sz w:val="20"/>
          <w:szCs w:val="20"/>
        </w:rPr>
        <w:t xml:space="preserve">Classez chaque besoin : Indispensable (I), Utile (U), Pas nécessaire (N). Demandez à l'éditeur de répondre ligne par ligne : Standard / Paramétrage / Développement / Non couvert.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41"/>
        <w:gridCol w:w="1542"/>
        <w:gridCol w:w="1928"/>
        <w:gridCol w:w="1927"/>
      </w:tblGrid>
      <w:tr>
        <w:trPr>
          <w:tblHeader/>
        </w:trPr>
        <w:tc>
          <w:tcPr>
            <w:tcW w:type="dxa" w:w="4241"/>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Besoin</w:t>
            </w:r>
          </w:p>
        </w:tc>
        <w:tc>
          <w:tcPr>
            <w:tcW w:type="dxa" w:w="1542"/>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Priorité (I / U / N)</w:t>
            </w:r>
          </w:p>
        </w:tc>
        <w:tc>
          <w:tcPr>
            <w:tcW w:type="dxa" w:w="1928"/>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Réponse de l'éditeur</w:t>
            </w:r>
          </w:p>
        </w:tc>
        <w:tc>
          <w:tcPr>
            <w:tcW w:type="dxa" w:w="1927"/>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Commentaire</w:t>
            </w:r>
          </w:p>
        </w:tc>
      </w:tr>
      <w:tr>
        <w:tc>
          <w:tcPr>
            <w:tcW w:type="dxa" w:w="424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Collecte des indicateurs auprès de contributeurs internes (RH, achats, sites)</w:t>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8"/>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424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Bibliothèque de preuves rattachées à chaque indicateur ou réponse</w:t>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8"/>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424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Réponse aux questionnaires clients et EcoVadis à partir des données saisies</w:t>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8"/>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424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Rapport au format VSME (module de base, module complet)</w:t>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8"/>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424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Bilan carbone (scopes 1, 2, 3) avec facteurs d'émission de la Base Empreinte de l'ADEME</w:t>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8"/>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424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Plan d'action RSE : actions, responsables, échéances, suivi</w:t>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8"/>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424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Volet QHSE : documents, non-conformités, audits internes, risques (si besoin ISO)</w:t>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8"/>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424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Tableau de bord pour la direction</w:t>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8"/>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424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Export Excel / CSV de toutes les données à tout moment</w:t>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8"/>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424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Historique des modifications (qui a saisi ou modifié quoi, quand)</w:t>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8"/>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bl>
    <w:p>
      <w:pPr>
        <w:pStyle w:val="Heading1"/>
      </w:pPr>
      <w:r>
        <w:t xml:space="preserve">4. Indicateurs à suivre la première année</w:t>
      </w:r>
    </w:p>
    <w:p>
      <w:pPr>
        <w:spacing w:after="120"/>
      </w:pPr>
      <w:r>
        <w:rPr>
          <w:i/>
          <w:iCs/>
          <w:color w:val="646A8C"/>
          <w:sz w:val="20"/>
          <w:szCs w:val="20"/>
        </w:rPr>
        <w:t xml:space="preserve">Listez 15 à 30 indicateurs au maximum. Exemple : consommation d'électricité (kWh, factures), effectif au 31/12 (DSN), taux de fréquence des accidents du travail, part des achats auprès de fournisseurs évalués. Le site indicateursrse.fr détaille les indicateurs usuels.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084"/>
        <w:gridCol w:w="1157"/>
        <w:gridCol w:w="2313"/>
        <w:gridCol w:w="1349"/>
        <w:gridCol w:w="1735"/>
      </w:tblGrid>
      <w:tr>
        <w:trPr>
          <w:tblHeader/>
        </w:trPr>
        <w:tc>
          <w:tcPr>
            <w:tcW w:type="dxa" w:w="3084"/>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Indicateur</w:t>
            </w:r>
          </w:p>
        </w:tc>
        <w:tc>
          <w:tcPr>
            <w:tcW w:type="dxa" w:w="1157"/>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Unité</w:t>
            </w:r>
          </w:p>
        </w:tc>
        <w:tc>
          <w:tcPr>
            <w:tcW w:type="dxa" w:w="2313"/>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Source de la donnée</w:t>
            </w:r>
          </w:p>
        </w:tc>
        <w:tc>
          <w:tcPr>
            <w:tcW w:type="dxa" w:w="1349"/>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Fréquence</w:t>
            </w:r>
          </w:p>
        </w:tc>
        <w:tc>
          <w:tcPr>
            <w:tcW w:type="dxa" w:w="1735"/>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Responsable</w:t>
            </w:r>
          </w:p>
        </w:tc>
      </w:tr>
      <w:tr>
        <w:tc>
          <w:tcPr>
            <w:tcW w:type="dxa" w:w="3084"/>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15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349"/>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084"/>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15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349"/>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084"/>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15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349"/>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084"/>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15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349"/>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084"/>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15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349"/>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084"/>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15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349"/>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bl>
    <w:p>
      <w:pPr>
        <w:pStyle w:val="Heading1"/>
      </w:pPr>
      <w:r>
        <w:t xml:space="preserve">5. Utilisateurs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91"/>
        <w:gridCol w:w="1157"/>
        <w:gridCol w:w="3277"/>
        <w:gridCol w:w="2313"/>
      </w:tblGrid>
      <w:tr>
        <w:trPr>
          <w:tblHeader/>
        </w:trPr>
        <w:tc>
          <w:tcPr>
            <w:tcW w:type="dxa" w:w="2891"/>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Profil</w:t>
            </w:r>
          </w:p>
        </w:tc>
        <w:tc>
          <w:tcPr>
            <w:tcW w:type="dxa" w:w="1157"/>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Nombre</w:t>
            </w:r>
          </w:p>
        </w:tc>
        <w:tc>
          <w:tcPr>
            <w:tcW w:type="dxa" w:w="3277"/>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Usage</w:t>
            </w:r>
          </w:p>
        </w:tc>
        <w:tc>
          <w:tcPr>
            <w:tcW w:type="dxa" w:w="2313"/>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Droits</w:t>
            </w:r>
          </w:p>
        </w:tc>
      </w:tr>
      <w:tr>
        <w:tc>
          <w:tcPr>
            <w:tcW w:type="dxa" w:w="289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Pilote RSE / QSE</w:t>
            </w:r>
          </w:p>
        </w:tc>
        <w:tc>
          <w:tcPr>
            <w:tcW w:type="dxa" w:w="115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327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Paramétrage, validation, rapports</w:t>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Administrateur</w:t>
            </w:r>
          </w:p>
        </w:tc>
      </w:tr>
      <w:tr>
        <w:tc>
          <w:tcPr>
            <w:tcW w:type="dxa" w:w="289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Contributeurs (RH, achats, sites, finance)</w:t>
            </w:r>
          </w:p>
        </w:tc>
        <w:tc>
          <w:tcPr>
            <w:tcW w:type="dxa" w:w="115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327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Saisie de quelques données par trimestre</w:t>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Saisie sur leur périmètre</w:t>
            </w:r>
          </w:p>
        </w:tc>
      </w:tr>
      <w:tr>
        <w:tc>
          <w:tcPr>
            <w:tcW w:type="dxa" w:w="289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Direction</w:t>
            </w:r>
          </w:p>
        </w:tc>
        <w:tc>
          <w:tcPr>
            <w:tcW w:type="dxa" w:w="115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327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Lecture des tableaux de bord</w:t>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Lecture</w:t>
            </w:r>
          </w:p>
        </w:tc>
      </w:tr>
      <w:tr>
        <w:tc>
          <w:tcPr>
            <w:tcW w:type="dxa" w:w="289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Consultant externe ou expert-comptable</w:t>
            </w:r>
          </w:p>
        </w:tc>
        <w:tc>
          <w:tcPr>
            <w:tcW w:type="dxa" w:w="115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327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Revue, conseil</w:t>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Lecture ou saisie</w:t>
            </w:r>
          </w:p>
        </w:tc>
      </w:tr>
    </w:tbl>
    <w:p>
      <w:pPr>
        <w:spacing w:after="120"/>
      </w:pPr>
      <w:r>
        <w:t xml:space="preserve">Question à l'éditeur : le prix dépend-il du nombre d'utilisateurs, et les contributeurs occasionnels sont-ils facturés ?</w:t>
      </w:r>
    </w:p>
    <w:p>
      <w:pPr>
        <w:pStyle w:val="Heading1"/>
      </w:pPr>
      <w:r>
        <w:t xml:space="preserve">6. Intégrations et import de données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35"/>
        <w:gridCol w:w="2313"/>
        <w:gridCol w:w="3277"/>
        <w:gridCol w:w="2313"/>
      </w:tblGrid>
      <w:tr>
        <w:trPr>
          <w:tblHeader/>
        </w:trPr>
        <w:tc>
          <w:tcPr>
            <w:tcW w:type="dxa" w:w="1735"/>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Source</w:t>
            </w:r>
          </w:p>
        </w:tc>
        <w:tc>
          <w:tcPr>
            <w:tcW w:type="dxa" w:w="2313"/>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Format</w:t>
            </w:r>
          </w:p>
        </w:tc>
        <w:tc>
          <w:tcPr>
            <w:tcW w:type="dxa" w:w="3277"/>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Attendu</w:t>
            </w:r>
          </w:p>
        </w:tc>
        <w:tc>
          <w:tcPr>
            <w:tcW w:type="dxa" w:w="2313"/>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Réponse de l'éditeur</w:t>
            </w:r>
          </w:p>
        </w:tc>
      </w:tr>
      <w:tr>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Comptabilité</w:t>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FEC (fichier des écritures comptables)</w:t>
            </w:r>
          </w:p>
        </w:tc>
        <w:tc>
          <w:tcPr>
            <w:tcW w:type="dxa" w:w="327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Import pour estimer les achats et le scope 3 par catégorie de dépense</w:t>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Paie</w:t>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DSN ou export du logiciel de paie</w:t>
            </w:r>
          </w:p>
        </w:tc>
        <w:tc>
          <w:tcPr>
            <w:tcW w:type="dxa" w:w="327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Effectifs, contrats, absences</w:t>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ERP / gestion commerciale</w:t>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Export CSV ou API</w:t>
            </w:r>
          </w:p>
        </w:tc>
        <w:tc>
          <w:tcPr>
            <w:tcW w:type="dxa" w:w="327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Achats, volumes, fournisseurs</w:t>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Énergie</w:t>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Factures PDF, export du fournisseur</w:t>
            </w:r>
          </w:p>
        </w:tc>
        <w:tc>
          <w:tcPr>
            <w:tcW w:type="dxa" w:w="327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Consommations par site</w:t>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173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Tableurs existants</w:t>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Excel</w:t>
            </w:r>
          </w:p>
        </w:tc>
        <w:tc>
          <w:tcPr>
            <w:tcW w:type="dxa" w:w="327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Reprise de l'historique des années précédentes</w:t>
            </w:r>
          </w:p>
        </w:tc>
        <w:tc>
          <w:tcPr>
            <w:tcW w:type="dxa" w:w="2313"/>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bl>
    <w:p>
      <w:pPr>
        <w:pStyle w:val="Heading1"/>
      </w:pPr>
      <w:r>
        <w:t xml:space="preserve">7. Sécurité, RGPD et hébergement</w:t>
      </w:r>
    </w:p>
    <w:p>
      <w:pPr>
        <w:pStyle w:val="ListParagraph"/>
        <w:numPr>
          <w:ilvl w:val="0"/>
          <w:numId w:val="2"/>
        </w:numPr>
        <w:spacing w:after="60"/>
      </w:pPr>
      <w:r>
        <w:t xml:space="preserve">Lieu d'hébergement des données (pays, hébergeur) et sous-traitants ultérieurs.</w:t>
      </w:r>
    </w:p>
    <w:p>
      <w:pPr>
        <w:pStyle w:val="ListParagraph"/>
        <w:numPr>
          <w:ilvl w:val="0"/>
          <w:numId w:val="2"/>
        </w:numPr>
        <w:spacing w:after="60"/>
      </w:pPr>
      <w:r>
        <w:t xml:space="preserve">Contrat de sous-traitance au sens de l'article 28 du RGPD, si des données personnelles sont traitées (données RH notamment).</w:t>
      </w:r>
    </w:p>
    <w:p>
      <w:pPr>
        <w:pStyle w:val="ListParagraph"/>
        <w:numPr>
          <w:ilvl w:val="0"/>
          <w:numId w:val="2"/>
        </w:numPr>
        <w:spacing w:after="60"/>
      </w:pPr>
      <w:r>
        <w:t xml:space="preserve">Authentification (double facteur, SSO), gestion des droits par site ou par module.</w:t>
      </w:r>
    </w:p>
    <w:p>
      <w:pPr>
        <w:pStyle w:val="ListParagraph"/>
        <w:numPr>
          <w:ilvl w:val="0"/>
          <w:numId w:val="2"/>
        </w:numPr>
        <w:spacing w:after="60"/>
      </w:pPr>
      <w:r>
        <w:t xml:space="preserve">Sauvegardes : fréquence, durée de conservation, test de restauration.</w:t>
      </w:r>
    </w:p>
    <w:p>
      <w:pPr>
        <w:pStyle w:val="ListParagraph"/>
        <w:numPr>
          <w:ilvl w:val="0"/>
          <w:numId w:val="2"/>
        </w:numPr>
        <w:spacing w:after="60"/>
      </w:pPr>
      <w:r>
        <w:t xml:space="preserve">Certifications ou attestations de sécurité dont dispose l'éditeur (à fournir).</w:t>
      </w:r>
    </w:p>
    <w:p>
      <w:pPr>
        <w:pStyle w:val="ListParagraph"/>
        <w:numPr>
          <w:ilvl w:val="0"/>
          <w:numId w:val="2"/>
        </w:numPr>
        <w:spacing w:after="60"/>
      </w:pPr>
      <w:r>
        <w:t xml:space="preserve">Disponibilité du service et support : horaires, délais de réponse, langue.</w:t>
      </w:r>
    </w:p>
    <w:p>
      <w:pPr>
        <w:pStyle w:val="Heading1"/>
      </w:pPr>
      <w:r>
        <w:t xml:space="preserve">8. Réversibilité</w:t>
      </w:r>
    </w:p>
    <w:p>
      <w:pPr>
        <w:spacing w:after="120"/>
      </w:pPr>
      <w:r>
        <w:rPr>
          <w:i/>
          <w:iCs/>
          <w:color w:val="646A8C"/>
          <w:sz w:val="20"/>
          <w:szCs w:val="20"/>
        </w:rPr>
        <w:t xml:space="preserve">C'est la clause que les PME oublient le plus souvent. Le règlement européen sur les données (Data Act, applicable depuis le 12 septembre 2025) encadre le changement de fournisseur de services cloud, logiciels en ligne compris.</w:t>
      </w:r>
    </w:p>
    <w:p>
      <w:pPr>
        <w:pStyle w:val="ListParagraph"/>
        <w:numPr>
          <w:ilvl w:val="0"/>
          <w:numId w:val="2"/>
        </w:numPr>
        <w:spacing w:after="60"/>
      </w:pPr>
      <w:r>
        <w:t xml:space="preserve">Export complet des données (indicateurs, historiques, preuves, commentaires) dans un format ouvert, sans frais supplémentaires.</w:t>
      </w:r>
    </w:p>
    <w:p>
      <w:pPr>
        <w:pStyle w:val="ListParagraph"/>
        <w:numPr>
          <w:ilvl w:val="0"/>
          <w:numId w:val="2"/>
        </w:numPr>
        <w:spacing w:after="60"/>
      </w:pPr>
      <w:r>
        <w:t xml:space="preserve">Délai de préavis, durée de la période de transition et durée pendant laquelle les données restent récupérables après la fin du contrat.</w:t>
      </w:r>
    </w:p>
    <w:p>
      <w:pPr>
        <w:pStyle w:val="ListParagraph"/>
        <w:numPr>
          <w:ilvl w:val="0"/>
          <w:numId w:val="2"/>
        </w:numPr>
        <w:spacing w:after="60"/>
      </w:pPr>
      <w:r>
        <w:t xml:space="preserve">Frais éventuels de changement de fournisseur (ils doivent disparaître à partir du 12 janvier 2027 selon le Data Act).</w:t>
      </w:r>
    </w:p>
    <w:p>
      <w:pPr>
        <w:pStyle w:val="ListParagraph"/>
        <w:numPr>
          <w:ilvl w:val="0"/>
          <w:numId w:val="2"/>
        </w:numPr>
        <w:spacing w:after="60"/>
      </w:pPr>
      <w:r>
        <w:t xml:space="preserve">Suppression des données en fin de contrat et attestation de suppression.</w:t>
      </w:r>
    </w:p>
    <w:p>
      <w:pPr>
        <w:pStyle w:val="ListParagraph"/>
        <w:numPr>
          <w:ilvl w:val="0"/>
          <w:numId w:val="2"/>
        </w:numPr>
        <w:spacing w:after="60"/>
      </w:pPr>
      <w:r>
        <w:t xml:space="preserve">Ce qui se passe si l'éditeur cesse son activité ou est racheté.</w:t>
      </w:r>
    </w:p>
    <w:p>
      <w:pPr>
        <w:pStyle w:val="Heading1"/>
      </w:pPr>
      <w:r>
        <w:t xml:space="preserve">9. Accompagnement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241"/>
        <w:gridCol w:w="1349"/>
        <w:gridCol w:w="2120"/>
        <w:gridCol w:w="1928"/>
      </w:tblGrid>
      <w:tr>
        <w:trPr>
          <w:tblHeader/>
        </w:trPr>
        <w:tc>
          <w:tcPr>
            <w:tcW w:type="dxa" w:w="4241"/>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Prestation</w:t>
            </w:r>
          </w:p>
        </w:tc>
        <w:tc>
          <w:tcPr>
            <w:tcW w:type="dxa" w:w="1349"/>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Incluse ?</w:t>
            </w:r>
          </w:p>
        </w:tc>
        <w:tc>
          <w:tcPr>
            <w:tcW w:type="dxa" w:w="2120"/>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Nombre de jours ou d'heures</w:t>
            </w:r>
          </w:p>
        </w:tc>
        <w:tc>
          <w:tcPr>
            <w:tcW w:type="dxa" w:w="1928"/>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Prix</w:t>
            </w:r>
          </w:p>
        </w:tc>
      </w:tr>
      <w:tr>
        <w:tc>
          <w:tcPr>
            <w:tcW w:type="dxa" w:w="424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Paramétrage initial et reprise des données</w:t>
            </w:r>
          </w:p>
        </w:tc>
        <w:tc>
          <w:tcPr>
            <w:tcW w:type="dxa" w:w="1349"/>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2120"/>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8"/>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424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Formation du pilote et des contributeurs</w:t>
            </w:r>
          </w:p>
        </w:tc>
        <w:tc>
          <w:tcPr>
            <w:tcW w:type="dxa" w:w="1349"/>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2120"/>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8"/>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424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Aide méthodologique (choix des indicateurs, matérialité, VSME)</w:t>
            </w:r>
          </w:p>
        </w:tc>
        <w:tc>
          <w:tcPr>
            <w:tcW w:type="dxa" w:w="1349"/>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2120"/>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8"/>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424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Préparation d'une évaluation EcoVadis ou d'un questionnaire client</w:t>
            </w:r>
          </w:p>
        </w:tc>
        <w:tc>
          <w:tcPr>
            <w:tcW w:type="dxa" w:w="1349"/>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2120"/>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8"/>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424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Revue annuelle des données avant publication</w:t>
            </w:r>
          </w:p>
        </w:tc>
        <w:tc>
          <w:tcPr>
            <w:tcW w:type="dxa" w:w="1349"/>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2120"/>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8"/>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424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Support utilisateur</w:t>
            </w:r>
          </w:p>
        </w:tc>
        <w:tc>
          <w:tcPr>
            <w:tcW w:type="dxa" w:w="1349"/>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2120"/>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928"/>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bl>
    <w:p>
      <w:pPr>
        <w:spacing w:after="120"/>
      </w:pPr>
      <w:r>
        <w:t xml:space="preserve">Question à l'éditeur : l'accompagnement est-il assuré par vos équipes ou par un partenaire ? Par qui, nommément ?</w:t>
      </w:r>
    </w:p>
    <w:p>
      <w:pPr>
        <w:pStyle w:val="Heading1"/>
      </w:pPr>
      <w:r>
        <w:t xml:space="preserve">10. Budget sur 3 ans</w:t>
      </w:r>
    </w:p>
    <w:p>
      <w:pPr>
        <w:spacing w:after="120"/>
      </w:pPr>
      <w:r>
        <w:rPr>
          <w:i/>
          <w:iCs/>
          <w:color w:val="646A8C"/>
          <w:sz w:val="20"/>
          <w:szCs w:val="20"/>
        </w:rPr>
        <w:t xml:space="preserve">Demandez à chaque éditeur de remplir ce tableau. Ajoutez votre propre temps interne : c'est souvent le premier poste de coût d'une PME.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470"/>
        <w:gridCol w:w="1542"/>
        <w:gridCol w:w="1542"/>
        <w:gridCol w:w="1542"/>
        <w:gridCol w:w="1542"/>
      </w:tblGrid>
      <w:tr>
        <w:trPr>
          <w:tblHeader/>
        </w:trPr>
        <w:tc>
          <w:tcPr>
            <w:tcW w:type="dxa" w:w="3470"/>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Poste (€ HT)</w:t>
            </w:r>
          </w:p>
        </w:tc>
        <w:tc>
          <w:tcPr>
            <w:tcW w:type="dxa" w:w="1542"/>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Année 1</w:t>
            </w:r>
          </w:p>
        </w:tc>
        <w:tc>
          <w:tcPr>
            <w:tcW w:type="dxa" w:w="1542"/>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Année 2</w:t>
            </w:r>
          </w:p>
        </w:tc>
        <w:tc>
          <w:tcPr>
            <w:tcW w:type="dxa" w:w="1542"/>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Année 3</w:t>
            </w:r>
          </w:p>
        </w:tc>
        <w:tc>
          <w:tcPr>
            <w:tcW w:type="dxa" w:w="1542"/>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Total</w:t>
            </w:r>
          </w:p>
        </w:tc>
      </w:tr>
      <w:tr>
        <w:tc>
          <w:tcPr>
            <w:tcW w:type="dxa" w:w="3470"/>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Abonnement (licences, modules)</w:t>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470"/>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Mise en place (paramétrage, reprise, intégrations)</w:t>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470"/>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Formation</w:t>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470"/>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Accompagnement / conseil</w:t>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470"/>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Options et modules complémentaires</w:t>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470"/>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Temps interne (jours × coût journalier chargé)</w:t>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470"/>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Total</w:t>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542"/>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bl>
    <w:p>
      <w:pPr>
        <w:spacing w:after="120"/>
      </w:pPr>
      <w:r>
        <w:t xml:space="preserve">Conditions à préciser : durée d'engagement, révision annuelle du prix, conditions de résiliation.</w:t>
      </w:r>
    </w:p>
    <w:p>
      <w:pPr>
        <w:pStyle w:val="Heading1"/>
      </w:pPr>
      <w:r>
        <w:t xml:space="preserve">11. Déroulé de la consultation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6747"/>
        <w:gridCol w:w="2891"/>
      </w:tblGrid>
      <w:tr>
        <w:trPr>
          <w:tblHeader/>
        </w:trPr>
        <w:tc>
          <w:tcPr>
            <w:tcW w:type="dxa" w:w="6747"/>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Étape</w:t>
            </w:r>
          </w:p>
        </w:tc>
        <w:tc>
          <w:tcPr>
            <w:tcW w:type="dxa" w:w="2891"/>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Date</w:t>
            </w:r>
          </w:p>
        </w:tc>
      </w:tr>
      <w:tr>
        <w:tc>
          <w:tcPr>
            <w:tcW w:type="dxa" w:w="674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Envoi du cahier des charges</w:t>
            </w:r>
          </w:p>
        </w:tc>
        <w:tc>
          <w:tcPr>
            <w:tcW w:type="dxa" w:w="289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674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Questions des éditeurs</w:t>
            </w:r>
          </w:p>
        </w:tc>
        <w:tc>
          <w:tcPr>
            <w:tcW w:type="dxa" w:w="289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674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Réception des réponses écrites</w:t>
            </w:r>
          </w:p>
        </w:tc>
        <w:tc>
          <w:tcPr>
            <w:tcW w:type="dxa" w:w="289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674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Démonstrations sur nos propres données (2 à 3 éditeurs)</w:t>
            </w:r>
          </w:p>
        </w:tc>
        <w:tc>
          <w:tcPr>
            <w:tcW w:type="dxa" w:w="289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674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Décision</w:t>
            </w:r>
          </w:p>
        </w:tc>
        <w:tc>
          <w:tcPr>
            <w:tcW w:type="dxa" w:w="289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6747"/>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Démarrage</w:t>
            </w:r>
          </w:p>
        </w:tc>
        <w:tc>
          <w:tcPr>
            <w:tcW w:type="dxa" w:w="2891"/>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bl>
    <w:p>
      <w:pPr>
        <w:spacing w:after="120"/>
      </w:pPr>
      <w:r>
        <w:t xml:space="preserve">Pour la démonstration, nous fournirons un jeu de données réel (un site, cinq indicateurs, un extrait de questionnaire client). Nous demandons à voir : la saisie par un contributeur, le rattachement d'une preuve, la production d'une réponse à notre questionnaire et l'export complet des données.</w:t>
      </w:r>
    </w:p>
    <w:p>
      <w:pPr>
        <w:pStyle w:val="Heading1"/>
      </w:pPr>
      <w:r>
        <w:t xml:space="preserve">12. Grille de notation des réponses</w:t>
      </w:r>
    </w:p>
    <w:p>
      <w:pPr>
        <w:spacing w:after="120"/>
      </w:pPr>
      <w:r>
        <w:rPr>
          <w:i/>
          <w:iCs/>
          <w:color w:val="646A8C"/>
          <w:sz w:val="20"/>
          <w:szCs w:val="20"/>
        </w:rPr>
        <w:t xml:space="preserve">Notez chaque réponse de 1 (insuffisant) à 5 (excellent). Multipliez par le poids, additionnez. Les poids ci-dessous sont un exemple pour une PME dont la démarche est portée par une seule personne ; ajustez-les.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855"/>
        <w:gridCol w:w="1446"/>
        <w:gridCol w:w="1446"/>
        <w:gridCol w:w="1446"/>
        <w:gridCol w:w="1445"/>
      </w:tblGrid>
      <w:tr>
        <w:trPr>
          <w:tblHeader/>
        </w:trPr>
        <w:tc>
          <w:tcPr>
            <w:tcW w:type="dxa" w:w="3855"/>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Critère</w:t>
            </w:r>
          </w:p>
        </w:tc>
        <w:tc>
          <w:tcPr>
            <w:tcW w:type="dxa" w:w="1446"/>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Poids (exemple)</w:t>
            </w:r>
          </w:p>
        </w:tc>
        <w:tc>
          <w:tcPr>
            <w:tcW w:type="dxa" w:w="1446"/>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Éditeur A</w:t>
            </w:r>
          </w:p>
        </w:tc>
        <w:tc>
          <w:tcPr>
            <w:tcW w:type="dxa" w:w="1446"/>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Éditeur B</w:t>
            </w:r>
          </w:p>
        </w:tc>
        <w:tc>
          <w:tcPr>
            <w:tcW w:type="dxa" w:w="1445"/>
            <w:tcBorders>
              <w:top w:val="single" w:color="D9D4F0" w:sz="4"/>
              <w:left w:val="single" w:color="D9D4F0" w:sz="4"/>
              <w:bottom w:val="single" w:color="D9D4F0" w:sz="4"/>
              <w:right w:val="single" w:color="D9D4F0" w:sz="4"/>
            </w:tcBorders>
            <w:shd w:fill="F0EEFF" w:color="auto" w:val="clear"/>
            <w:tcMar>
              <w:top w:type="dxa" w:w="60"/>
              <w:left w:type="dxa" w:w="100"/>
              <w:bottom w:type="dxa" w:w="60"/>
              <w:right w:type="dxa" w:w="100"/>
            </w:tcMar>
          </w:tcPr>
          <w:p>
            <w:r>
              <w:rPr>
                <w:b/>
                <w:bCs/>
                <w:color w:val="131A53"/>
                <w:sz w:val="19"/>
                <w:szCs w:val="19"/>
              </w:rPr>
              <w:t xml:space="preserve">Éditeur C</w:t>
            </w:r>
          </w:p>
        </w:tc>
      </w:tr>
      <w:tr>
        <w:tc>
          <w:tcPr>
            <w:tcW w:type="dxa" w:w="385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Couverture de nos déclencheurs (questionnaires, EcoVadis, VSME)</w:t>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20 %</w:t>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44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85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Charge de travail pour notre pilote et nos contributeurs</w:t>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20 %</w:t>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44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85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Coût total sur 3 ans, temps interne compris</w:t>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15 %</w:t>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44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85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Accompagnement (contenu, personnes, disponibilité)</w:t>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15 %</w:t>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44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85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Réversibilité et export des données</w:t>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10 %</w:t>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44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85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Sécurité, RGPD, hébergement</w:t>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10 %</w:t>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44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85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Intégrations (FEC, paie, ERP)</w:t>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5 %</w:t>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44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85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Qualité de la démonstration sur nos données</w:t>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5 %</w:t>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44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r>
        <w:tc>
          <w:tcPr>
            <w:tcW w:type="dxa" w:w="385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Score pondéré sur 5</w:t>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100 %</w:t>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446"/>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c>
          <w:tcPr>
            <w:tcW w:type="dxa" w:w="1445"/>
            <w:tcBorders>
              <w:top w:val="single" w:color="D9D4F0" w:sz="4"/>
              <w:left w:val="single" w:color="D9D4F0" w:sz="4"/>
              <w:bottom w:val="single" w:color="D9D4F0" w:sz="4"/>
              <w:right w:val="single" w:color="D9D4F0" w:sz="4"/>
            </w:tcBorders>
            <w:tcMar>
              <w:top w:type="dxa" w:w="60"/>
              <w:left w:type="dxa" w:w="100"/>
              <w:bottom w:type="dxa" w:w="60"/>
              <w:right w:type="dxa" w:w="100"/>
            </w:tcMar>
          </w:tcPr>
          <w:p>
            <w:r>
              <w:rPr>
                <w:b w:val="false"/>
                <w:bCs w:val="false"/>
                <w:sz w:val="19"/>
                <w:szCs w:val="19"/>
              </w:rPr>
              <w:t xml:space="preserve"/>
            </w:r>
          </w:p>
        </w:tc>
      </w:tr>
    </w:tbl>
    <w:p>
      <w:pPr>
        <w:spacing w:after="80"/>
      </w:pPr>
    </w:p>
    <w:p>
      <w:pPr>
        <w:spacing w:after="120"/>
      </w:pPr>
      <w:r>
        <w:rPr>
          <w:color w:val="646A8C"/>
          <w:sz w:val="18"/>
          <w:szCs w:val="18"/>
        </w:rPr>
        <w:t xml:space="preserve">Document proposé par logicielrsepme.fr, édité par Blune SAS pour Intersektion, qui édite aussi un logiciel RSE et QHSE. </w:t>
      </w:r>
      <w:r>
        <w:rPr>
          <w:color w:val="646A8C"/>
          <w:sz w:val="18"/>
          <w:szCs w:val="18"/>
        </w:rPr>
        <w:t xml:space="preserve">Libre d'utilisation et de modification. Version du 30 octobre 2026.</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color w:val="646A8C"/>
        <w:sz w:val="16"/>
        <w:szCs w:val="16"/>
      </w:rPr>
      <w:t xml:space="preserve">Cahier des charges logiciel RSE PME — page </w:t>
    </w:r>
    <w:r>
      <w:rPr>
        <w:color w:val="646A8C"/>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0D1B4B"/>
        <w:sz w:val="21"/>
        <w:szCs w:val="21"/>
      </w:rPr>
    </w:rPrDefault>
    <w:pPrDefault/>
  </w:docDefaults>
  <w:style w:type="paragraph" w:styleId="Normal" w:default="1">
    <w:name w:val="Normal"/>
    <w:qFormat/>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00"/>
    </w:pPr>
    <w:rPr>
      <w:rFonts w:ascii="Calibri" w:cs="Calibri" w:eastAsia="Calibri" w:hAnsi="Calibri"/>
      <w:b/>
      <w:bCs/>
      <w:color w:val="131A53"/>
      <w:sz w:val="40"/>
      <w:szCs w:val="40"/>
    </w:rPr>
  </w:style>
  <w:style w:type="paragraph" w:styleId="Heading1">
    <w:name w:val="Heading 1"/>
    <w:basedOn w:val="Normal"/>
    <w:next w:val="Normal"/>
    <w:qFormat/>
    <w:pPr>
      <w:keepNext/>
      <w:spacing w:after="120" w:before="320"/>
      <w:outlineLvl w:val="0"/>
    </w:pPr>
    <w:rPr>
      <w:b/>
      <w:bCs/>
      <w:color w:val="7C3AED"/>
      <w:sz w:val="28"/>
      <w:szCs w:val="28"/>
    </w:rPr>
  </w:style>
  <w:style w:type="paragraph" w:styleId="Heading2">
    <w:name w:val="Heading 2"/>
    <w:basedOn w:val="Normal"/>
    <w:next w:val="Normal"/>
    <w:qFormat/>
    <w:pPr>
      <w:spacing w:after="100" w:before="200"/>
      <w:outlineLvl w:val="1"/>
    </w:pPr>
    <w:rPr>
      <w:b/>
      <w:bCs/>
      <w:color w:val="131A53"/>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Cahier des charges logiciel RSE PME</dc:title>
  <dc:creator>logicielrsepme.fr by Intersektion</dc:creator>
  <cp:lastModifiedBy>Un-named</cp:lastModifiedBy>
  <cp:revision>1</cp:revision>
  <dcterms:created xsi:type="dcterms:W3CDTF">2026-10-30T14:14:32.032Z</dcterms:created>
  <dcterms:modified xsi:type="dcterms:W3CDTF">2026-10-30T14:14:32.033Z</dcterms:modified>
</cp:coreProperties>
</file>

<file path=docProps/custom.xml><?xml version="1.0" encoding="utf-8"?>
<Properties xmlns="http://schemas.openxmlformats.org/officeDocument/2006/custom-properties" xmlns:vt="http://schemas.openxmlformats.org/officeDocument/2006/docPropsVTypes"/>
</file>